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25F05" w14:textId="77777777" w:rsidR="00AB0613" w:rsidRDefault="00AB0613" w:rsidP="00AB0613">
      <w:pPr>
        <w:ind w:firstLine="720"/>
        <w:jc w:val="center"/>
        <w:rPr>
          <w:sz w:val="36"/>
          <w:szCs w:val="36"/>
        </w:rPr>
      </w:pPr>
      <w:bookmarkStart w:id="0" w:name="_Hlk100141570"/>
    </w:p>
    <w:p w14:paraId="6C778AFA" w14:textId="77777777" w:rsidR="00AB0613" w:rsidRDefault="00AB0613" w:rsidP="00AB0613">
      <w:pPr>
        <w:ind w:firstLine="720"/>
        <w:jc w:val="center"/>
        <w:rPr>
          <w:sz w:val="36"/>
          <w:szCs w:val="36"/>
        </w:rPr>
      </w:pPr>
    </w:p>
    <w:p w14:paraId="5735561B" w14:textId="77777777" w:rsidR="00AB0613" w:rsidRDefault="00AB0613" w:rsidP="00AB0613">
      <w:pPr>
        <w:ind w:firstLine="720"/>
        <w:jc w:val="center"/>
        <w:rPr>
          <w:sz w:val="36"/>
          <w:szCs w:val="36"/>
        </w:rPr>
      </w:pPr>
    </w:p>
    <w:p w14:paraId="771DF808" w14:textId="77777777" w:rsidR="00AB0613" w:rsidRDefault="00AB0613" w:rsidP="00AB0613">
      <w:pPr>
        <w:ind w:firstLine="720"/>
        <w:jc w:val="center"/>
        <w:rPr>
          <w:sz w:val="36"/>
          <w:szCs w:val="36"/>
        </w:rPr>
      </w:pPr>
    </w:p>
    <w:p w14:paraId="38EFA868" w14:textId="77777777" w:rsidR="00AB0613" w:rsidRDefault="00AB0613" w:rsidP="00AB0613">
      <w:pPr>
        <w:ind w:firstLine="720"/>
        <w:jc w:val="center"/>
        <w:rPr>
          <w:sz w:val="36"/>
          <w:szCs w:val="36"/>
        </w:rPr>
      </w:pPr>
    </w:p>
    <w:p w14:paraId="25E41A6E" w14:textId="77777777" w:rsidR="00AB0613" w:rsidRDefault="00AB0613" w:rsidP="00AB0613">
      <w:pPr>
        <w:ind w:firstLine="720"/>
        <w:jc w:val="center"/>
        <w:rPr>
          <w:sz w:val="36"/>
          <w:szCs w:val="36"/>
        </w:rPr>
      </w:pPr>
    </w:p>
    <w:p w14:paraId="5A51D0F3" w14:textId="77777777" w:rsidR="00AB0613" w:rsidRDefault="00AB0613" w:rsidP="00AB0613">
      <w:pPr>
        <w:ind w:firstLine="720"/>
        <w:jc w:val="center"/>
        <w:rPr>
          <w:sz w:val="36"/>
          <w:szCs w:val="36"/>
        </w:rPr>
      </w:pPr>
    </w:p>
    <w:p w14:paraId="4D56EF02" w14:textId="77777777" w:rsidR="00AB0613" w:rsidRDefault="00AB0613" w:rsidP="00AB0613">
      <w:pPr>
        <w:ind w:firstLine="720"/>
        <w:jc w:val="center"/>
        <w:rPr>
          <w:sz w:val="36"/>
          <w:szCs w:val="36"/>
        </w:rPr>
      </w:pPr>
    </w:p>
    <w:p w14:paraId="1D6148E8" w14:textId="77777777" w:rsidR="00AB0613" w:rsidRDefault="00AB0613" w:rsidP="00AB0613">
      <w:pPr>
        <w:ind w:firstLine="720"/>
        <w:jc w:val="center"/>
        <w:rPr>
          <w:sz w:val="36"/>
          <w:szCs w:val="36"/>
        </w:rPr>
      </w:pPr>
    </w:p>
    <w:bookmarkEnd w:id="0"/>
    <w:p w14:paraId="563032A6" w14:textId="77777777" w:rsidR="00380972" w:rsidRDefault="00380972" w:rsidP="00AB0613">
      <w:pPr>
        <w:ind w:firstLineChars="0" w:firstLine="0"/>
        <w:jc w:val="center"/>
        <w:rPr>
          <w:sz w:val="36"/>
          <w:szCs w:val="36"/>
        </w:rPr>
      </w:pPr>
      <w:r w:rsidRPr="00380972">
        <w:rPr>
          <w:sz w:val="36"/>
          <w:szCs w:val="36"/>
        </w:rPr>
        <w:t>Example of documentation for the ICCEM</w:t>
      </w:r>
    </w:p>
    <w:p w14:paraId="44875BB9" w14:textId="77777777" w:rsidR="00380972" w:rsidRDefault="00380972" w:rsidP="00AB0613">
      <w:pPr>
        <w:ind w:firstLineChars="0" w:firstLine="0"/>
        <w:jc w:val="center"/>
        <w:rPr>
          <w:sz w:val="36"/>
          <w:szCs w:val="36"/>
        </w:rPr>
      </w:pPr>
      <w:r w:rsidRPr="00380972">
        <w:rPr>
          <w:sz w:val="36"/>
          <w:szCs w:val="36"/>
        </w:rPr>
        <w:t>ICCEM Organizing Committee</w:t>
      </w:r>
    </w:p>
    <w:p w14:paraId="7BDCD446" w14:textId="6C98C284" w:rsidR="00AB0613" w:rsidRDefault="00380972" w:rsidP="00380972">
      <w:pPr>
        <w:ind w:firstLineChars="0" w:firstLine="0"/>
        <w:jc w:val="center"/>
      </w:pPr>
      <w:r w:rsidRPr="00380972">
        <w:rPr>
          <w:sz w:val="36"/>
          <w:szCs w:val="36"/>
        </w:rPr>
        <w:t>Tsinghua University</w:t>
      </w:r>
      <w:r w:rsidR="00AB0613">
        <w:br w:type="page"/>
      </w:r>
    </w:p>
    <w:p w14:paraId="147202AA" w14:textId="77777777" w:rsidR="00380972" w:rsidRDefault="00380972" w:rsidP="00380972">
      <w:pPr>
        <w:ind w:firstLineChars="0" w:firstLine="0"/>
        <w:jc w:val="center"/>
        <w:rPr>
          <w:sz w:val="36"/>
          <w:szCs w:val="36"/>
        </w:rPr>
      </w:pPr>
      <w:r w:rsidRPr="00380972">
        <w:rPr>
          <w:sz w:val="36"/>
          <w:szCs w:val="36"/>
        </w:rPr>
        <w:lastRenderedPageBreak/>
        <w:t>Example of documentation for the ICCEM</w:t>
      </w:r>
    </w:p>
    <w:p w14:paraId="4410F04A" w14:textId="77777777" w:rsidR="00AB0613" w:rsidRPr="00380972" w:rsidRDefault="00AB0613" w:rsidP="00AB0613">
      <w:pPr>
        <w:ind w:firstLine="720"/>
        <w:jc w:val="center"/>
        <w:rPr>
          <w:sz w:val="36"/>
          <w:szCs w:val="36"/>
        </w:rPr>
      </w:pPr>
    </w:p>
    <w:p w14:paraId="47DB22FB" w14:textId="31E76BB1" w:rsidR="005A264A" w:rsidRPr="00AB0613" w:rsidRDefault="000B1987" w:rsidP="005A264A">
      <w:pPr>
        <w:ind w:firstLineChars="0" w:firstLine="0"/>
        <w:jc w:val="center"/>
        <w:rPr>
          <w:b/>
        </w:rPr>
      </w:pPr>
      <w:r>
        <w:rPr>
          <w:rFonts w:hint="eastAsia"/>
          <w:b/>
        </w:rPr>
        <w:t>A</w:t>
      </w:r>
      <w:r>
        <w:rPr>
          <w:b/>
        </w:rPr>
        <w:t>bstract</w:t>
      </w:r>
    </w:p>
    <w:p w14:paraId="3334E320" w14:textId="77777777" w:rsidR="00980D4F" w:rsidRDefault="00980D4F" w:rsidP="00AB0613">
      <w:pPr>
        <w:ind w:firstLine="480"/>
      </w:pPr>
      <w:r w:rsidRPr="00980D4F">
        <w:t>This document is a sample document. This document serves only as a format reference, and the other content is not of practical reference significance.</w:t>
      </w:r>
    </w:p>
    <w:p w14:paraId="445A28AE" w14:textId="30BB122D" w:rsidR="00AB0613" w:rsidRPr="00B70853" w:rsidRDefault="00B70853" w:rsidP="00AB0613">
      <w:pPr>
        <w:ind w:firstLine="480"/>
        <w:rPr>
          <w:i/>
        </w:rPr>
      </w:pPr>
      <w:r w:rsidRPr="00B70853">
        <w:rPr>
          <w:rFonts w:hint="eastAsia"/>
          <w:i/>
        </w:rPr>
        <w:t>K</w:t>
      </w:r>
      <w:r w:rsidRPr="00B70853">
        <w:rPr>
          <w:i/>
        </w:rPr>
        <w:t>eywords: Sample</w:t>
      </w:r>
      <w:r>
        <w:rPr>
          <w:i/>
        </w:rPr>
        <w:t>,</w:t>
      </w:r>
      <w:r w:rsidRPr="00B70853">
        <w:rPr>
          <w:i/>
        </w:rPr>
        <w:t xml:space="preserve"> Format</w:t>
      </w:r>
      <w:r>
        <w:rPr>
          <w:i/>
        </w:rPr>
        <w:t>,</w:t>
      </w:r>
      <w:r w:rsidRPr="00B70853">
        <w:rPr>
          <w:i/>
        </w:rPr>
        <w:t xml:space="preserve"> Reference</w:t>
      </w:r>
      <w:bookmarkStart w:id="1" w:name="_GoBack"/>
      <w:bookmarkEnd w:id="1"/>
    </w:p>
    <w:p w14:paraId="7D9BB67E" w14:textId="77777777" w:rsidR="00AB0613" w:rsidRDefault="00AB0613" w:rsidP="00AB0613">
      <w:pPr>
        <w:ind w:firstLine="480"/>
      </w:pPr>
      <w:r>
        <w:br w:type="page"/>
      </w:r>
    </w:p>
    <w:p w14:paraId="535FBE91" w14:textId="57A566F9" w:rsidR="00AB0613" w:rsidRPr="00B70853" w:rsidRDefault="000B1987" w:rsidP="00B70853">
      <w:pPr>
        <w:widowControl/>
        <w:spacing w:after="156" w:line="300" w:lineRule="auto"/>
        <w:ind w:firstLineChars="0" w:firstLine="0"/>
        <w:jc w:val="center"/>
        <w:rPr>
          <w:b/>
          <w:color w:val="000000"/>
          <w:kern w:val="0"/>
          <w:szCs w:val="24"/>
        </w:rPr>
      </w:pPr>
      <w:r w:rsidRPr="00B70853">
        <w:rPr>
          <w:rFonts w:hint="eastAsia"/>
          <w:b/>
          <w:color w:val="000000"/>
          <w:kern w:val="0"/>
          <w:szCs w:val="24"/>
        </w:rPr>
        <w:lastRenderedPageBreak/>
        <w:t>Background</w:t>
      </w:r>
    </w:p>
    <w:p w14:paraId="2C58D9E1" w14:textId="77777777" w:rsidR="000B1987" w:rsidRDefault="000B1987" w:rsidP="000B1987">
      <w:pPr>
        <w:widowControl/>
        <w:spacing w:after="156" w:line="300" w:lineRule="auto"/>
        <w:ind w:firstLine="480"/>
        <w:rPr>
          <w:color w:val="000000"/>
          <w:kern w:val="0"/>
          <w:szCs w:val="24"/>
        </w:rPr>
      </w:pPr>
      <w:r>
        <w:rPr>
          <w:color w:val="000000"/>
          <w:kern w:val="0"/>
          <w:szCs w:val="24"/>
        </w:rPr>
        <w:t>The Innovation Competition in Construction Engineering and Management (ICCEM) is a high-level international competition, targeting graduates and undergraduates majored in civil engineering and construction management. It is sponsored by Hong Kong Gammon Construction Limited, organized by the Department of Construction Management at Tsinghua University, and undertaken by the Postgraduate Student Union and the Student Association of Science and Technology in the Department of Civil Engineering and Construction Management, Tsinghua University.</w:t>
      </w:r>
    </w:p>
    <w:p w14:paraId="71429DAD" w14:textId="48749284" w:rsidR="00AB0613" w:rsidRDefault="000B1987" w:rsidP="000B1987">
      <w:pPr>
        <w:ind w:firstLine="480"/>
        <w:rPr>
          <w:rFonts w:ascii="宋体" w:hAnsi="宋体"/>
          <w:kern w:val="0"/>
          <w:szCs w:val="24"/>
        </w:rPr>
      </w:pPr>
      <w:r>
        <w:rPr>
          <w:color w:val="000000"/>
          <w:kern w:val="0"/>
          <w:szCs w:val="24"/>
        </w:rPr>
        <w:t xml:space="preserve">Since the first competition in 2007, ICCEM has been successfully held for twelve years. It has been becoming an international competition since 2012. A large number of students from Mainland China, Hong Kong, Taiwan, Korea, Malaysia, US, Brazil and other countries or regions have participated in this event. ICCEM covers various domains concerning construction engineering and management, such as construction technologies </w:t>
      </w:r>
      <w:r w:rsidRPr="000B1987">
        <w:rPr>
          <w:color w:val="000000"/>
          <w:kern w:val="0"/>
          <w:szCs w:val="24"/>
        </w:rPr>
        <w:fldChar w:fldCharType="begin"/>
      </w:r>
      <w:r w:rsidRPr="000B1987">
        <w:rPr>
          <w:color w:val="000000"/>
          <w:kern w:val="0"/>
          <w:szCs w:val="24"/>
        </w:rPr>
        <w:instrText xml:space="preserve"> ADDIN ZOTERO_ITEM CSL_CITATION {"citationID":"ghSnKD9a","properties":{"formattedCitation":"(Boje\\uc0\\u31561{}, 2020)","plainCitation":"(Boje</w:instrText>
      </w:r>
      <w:r w:rsidRPr="000B1987">
        <w:rPr>
          <w:color w:val="000000"/>
          <w:kern w:val="0"/>
          <w:szCs w:val="24"/>
        </w:rPr>
        <w:instrText>等</w:instrText>
      </w:r>
      <w:r w:rsidRPr="000B1987">
        <w:rPr>
          <w:color w:val="000000"/>
          <w:kern w:val="0"/>
          <w:szCs w:val="24"/>
        </w:rPr>
        <w:instrText xml:space="preserve">, 2020)","noteIndex":0},"citationItems":[{"id":318,"uris":["http://zotero.org/users/8261166/items/UPWMVRJJ"],"itemData":{"id":318,"type":"article-journal","container-title":"Automation in Construction","DOI":"10.1016/j.autcon.2020.103179","ISSN":"09265805","note":"section: 103179","title":"Towards a semantic Construction Digital Twin: Directions for future research","volume":"114","author":[{"family":"Boje","given":"Calin"},{"family":"Guerriero","given":"Annie"},{"family":"Kubicki","given":"Sylvain"},{"family":"Rezgui","given":"Yacine"}],"issued":{"date-parts":[["2020"]]}}}],"schema":"https://github.com/citation-style-language/schema/raw/master/csl-citation.json"} </w:instrText>
      </w:r>
      <w:r w:rsidRPr="000B1987">
        <w:rPr>
          <w:color w:val="000000"/>
          <w:kern w:val="0"/>
          <w:szCs w:val="24"/>
        </w:rPr>
        <w:fldChar w:fldCharType="separate"/>
      </w:r>
      <w:r w:rsidRPr="000B1987">
        <w:rPr>
          <w:color w:val="000000"/>
          <w:kern w:val="0"/>
          <w:szCs w:val="24"/>
        </w:rPr>
        <w:t>(Boje</w:t>
      </w:r>
      <w:r>
        <w:rPr>
          <w:rFonts w:hint="eastAsia"/>
          <w:color w:val="000000"/>
          <w:kern w:val="0"/>
          <w:szCs w:val="24"/>
        </w:rPr>
        <w:t xml:space="preserve"> </w:t>
      </w:r>
      <w:r>
        <w:rPr>
          <w:color w:val="000000"/>
          <w:kern w:val="0"/>
          <w:szCs w:val="24"/>
        </w:rPr>
        <w:t>et al.</w:t>
      </w:r>
      <w:r w:rsidRPr="000B1987">
        <w:rPr>
          <w:color w:val="000000"/>
          <w:kern w:val="0"/>
          <w:szCs w:val="24"/>
        </w:rPr>
        <w:t>, 2020)</w:t>
      </w:r>
      <w:r w:rsidRPr="000B1987">
        <w:rPr>
          <w:color w:val="000000"/>
          <w:kern w:val="0"/>
          <w:szCs w:val="24"/>
        </w:rPr>
        <w:fldChar w:fldCharType="end"/>
      </w:r>
      <w:r>
        <w:rPr>
          <w:color w:val="000000"/>
          <w:kern w:val="0"/>
          <w:szCs w:val="24"/>
        </w:rPr>
        <w:t xml:space="preserve">, construction management </w:t>
      </w:r>
      <w:r w:rsidRPr="000B1987">
        <w:rPr>
          <w:color w:val="000000"/>
          <w:kern w:val="0"/>
          <w:szCs w:val="24"/>
        </w:rPr>
        <w:fldChar w:fldCharType="begin"/>
      </w:r>
      <w:r w:rsidRPr="000B1987">
        <w:rPr>
          <w:color w:val="000000"/>
          <w:kern w:val="0"/>
          <w:szCs w:val="24"/>
        </w:rPr>
        <w:instrText xml:space="preserve"> ADDIN ZOTERO_ITEM CSL_CITATION {"citationID":"sChz6XvI","properties":{"formattedCitation":"(Zhang\\uc0\\u31561{}, 2013)","plainCitation":"(Zhang</w:instrText>
      </w:r>
      <w:r w:rsidRPr="000B1987">
        <w:rPr>
          <w:color w:val="000000"/>
          <w:kern w:val="0"/>
          <w:szCs w:val="24"/>
        </w:rPr>
        <w:instrText>等</w:instrText>
      </w:r>
      <w:r w:rsidRPr="000B1987">
        <w:rPr>
          <w:color w:val="000000"/>
          <w:kern w:val="0"/>
          <w:szCs w:val="24"/>
        </w:rPr>
        <w:instrText xml:space="preserve">, 2013)","noteIndex":0},"citationItems":[{"id":156,"uris":["http://zotero.org/users/8261166/items/TXBMBW67"],"itemData":{"id":156,"type":"article-journal","container-title":"Automation in Construction","DOI":"10.1016/j.autcon.2012.05.006","ISSN":"09265805","note":"section: 183","page":"183-195","title":"Building Information Modeling (BIM) and Safety: Automatic Safety Checking of Construction Models and Schedules","volume":"29","author":[{"family":"Zhang","given":"Sijie"},{"family":"Teizer","given":"Jochen"},{"family":"Lee","given":"Jin-Kook"},{"family":"Eastman","given":"Charles M."},{"family":"Venugopal","given":"Manu"}],"issued":{"date-parts":[["2013"]]}}}],"schema":"https://github.com/citation-style-language/schema/raw/master/csl-citation.json"} </w:instrText>
      </w:r>
      <w:r w:rsidRPr="000B1987">
        <w:rPr>
          <w:color w:val="000000"/>
          <w:kern w:val="0"/>
          <w:szCs w:val="24"/>
        </w:rPr>
        <w:fldChar w:fldCharType="separate"/>
      </w:r>
      <w:r w:rsidRPr="000B1987">
        <w:rPr>
          <w:color w:val="000000"/>
          <w:kern w:val="0"/>
          <w:szCs w:val="24"/>
        </w:rPr>
        <w:t xml:space="preserve">(Zhang </w:t>
      </w:r>
      <w:r>
        <w:rPr>
          <w:color w:val="000000"/>
          <w:kern w:val="0"/>
          <w:szCs w:val="24"/>
        </w:rPr>
        <w:t>et al.</w:t>
      </w:r>
      <w:r w:rsidRPr="000B1987">
        <w:rPr>
          <w:color w:val="000000"/>
          <w:kern w:val="0"/>
          <w:szCs w:val="24"/>
        </w:rPr>
        <w:t>, 2013)</w:t>
      </w:r>
      <w:r w:rsidRPr="000B1987">
        <w:rPr>
          <w:color w:val="000000"/>
          <w:kern w:val="0"/>
          <w:szCs w:val="24"/>
        </w:rPr>
        <w:fldChar w:fldCharType="end"/>
      </w:r>
      <w:r>
        <w:rPr>
          <w:color w:val="000000"/>
          <w:kern w:val="0"/>
          <w:szCs w:val="24"/>
        </w:rPr>
        <w:t xml:space="preserve">, laws and regulations, urban planning and management </w:t>
      </w:r>
      <w:r w:rsidRPr="000B1987">
        <w:rPr>
          <w:color w:val="000000"/>
          <w:kern w:val="0"/>
          <w:szCs w:val="24"/>
        </w:rPr>
        <w:fldChar w:fldCharType="begin"/>
      </w:r>
      <w:r w:rsidRPr="000B1987">
        <w:rPr>
          <w:color w:val="000000"/>
          <w:kern w:val="0"/>
          <w:szCs w:val="24"/>
        </w:rPr>
        <w:instrText xml:space="preserve"> ADDIN ZOTERO_ITEM CSL_CITATION {"citationID":"fFyruxRq","properties":{"formattedCitation":"(Lu, 2019)","plainCitation":"(Lu, 2019)","noteIndex":0},"citationItems":[{"id":238,"uris":["http://zotero.org/users/8261166/items/VA9WDVE2"],"itemData":{"id":238,"type":"article-journal","container-title":"Resources, Conservation and Recycling","DOI":"10.1016/j.resconrec.2018.10.039","ISSN":"09213449","note":"section: 264","page":"264-272","title":"Big data analytics to identify illegal construction waste dumping: A Hong Kong study","volume":"141","author":[{"family":"Lu","given":"Weisheng"}],"issued":{"date-parts":[["2019"]]}}}],"schema":"https://github.com/citation-style-language/schema/raw/master/csl-citation.json"} </w:instrText>
      </w:r>
      <w:r w:rsidRPr="000B1987">
        <w:rPr>
          <w:color w:val="000000"/>
          <w:kern w:val="0"/>
          <w:szCs w:val="24"/>
        </w:rPr>
        <w:fldChar w:fldCharType="separate"/>
      </w:r>
      <w:r w:rsidRPr="000B1987">
        <w:rPr>
          <w:color w:val="000000"/>
          <w:kern w:val="0"/>
          <w:szCs w:val="24"/>
        </w:rPr>
        <w:t>(Lu, 2019)</w:t>
      </w:r>
      <w:r w:rsidRPr="000B1987">
        <w:rPr>
          <w:color w:val="000000"/>
          <w:kern w:val="0"/>
          <w:szCs w:val="24"/>
        </w:rPr>
        <w:fldChar w:fldCharType="end"/>
      </w:r>
      <w:r>
        <w:rPr>
          <w:color w:val="000000"/>
          <w:kern w:val="0"/>
          <w:szCs w:val="24"/>
        </w:rPr>
        <w:t>, and urban economics and real estate.</w:t>
      </w:r>
      <w:r>
        <w:rPr>
          <w:rFonts w:ascii="宋体" w:hAnsi="宋体"/>
          <w:kern w:val="0"/>
          <w:szCs w:val="24"/>
        </w:rPr>
        <w:t xml:space="preserve"> </w:t>
      </w:r>
    </w:p>
    <w:p w14:paraId="030BA9BF" w14:textId="77777777" w:rsidR="00AB0613" w:rsidRPr="00AB0613" w:rsidRDefault="00AB0613" w:rsidP="00AB0613">
      <w:pPr>
        <w:ind w:firstLine="480"/>
        <w:rPr>
          <w:rFonts w:ascii="宋体" w:hAnsi="宋体"/>
          <w:kern w:val="0"/>
          <w:szCs w:val="24"/>
        </w:rPr>
      </w:pPr>
    </w:p>
    <w:p w14:paraId="3163754E" w14:textId="40FAD22B" w:rsidR="00AB0613" w:rsidRPr="00B70853" w:rsidRDefault="000B1987" w:rsidP="00B70853">
      <w:pPr>
        <w:widowControl/>
        <w:spacing w:after="156" w:line="300" w:lineRule="auto"/>
        <w:ind w:firstLineChars="0" w:firstLine="0"/>
        <w:jc w:val="center"/>
        <w:rPr>
          <w:b/>
          <w:color w:val="000000"/>
          <w:kern w:val="0"/>
          <w:szCs w:val="24"/>
        </w:rPr>
      </w:pPr>
      <w:r w:rsidRPr="00B70853">
        <w:rPr>
          <w:rFonts w:hint="eastAsia"/>
          <w:b/>
          <w:color w:val="000000"/>
          <w:kern w:val="0"/>
          <w:szCs w:val="24"/>
        </w:rPr>
        <w:t>Objective</w:t>
      </w:r>
    </w:p>
    <w:p w14:paraId="034A011D" w14:textId="4C34B137" w:rsidR="000B1987" w:rsidRDefault="000B1987" w:rsidP="000B1987">
      <w:pPr>
        <w:widowControl/>
        <w:spacing w:after="156" w:line="300" w:lineRule="auto"/>
        <w:ind w:firstLine="480"/>
        <w:rPr>
          <w:color w:val="000000"/>
          <w:kern w:val="0"/>
          <w:szCs w:val="24"/>
        </w:rPr>
      </w:pPr>
      <w:r>
        <w:rPr>
          <w:color w:val="000000"/>
          <w:kern w:val="0"/>
          <w:szCs w:val="24"/>
        </w:rPr>
        <w:t>The purpose of ICCEM is to inspire students' innovation ability and encourage them to actively participate in innovative practices, thus educating high-level innovative talents in the construction engineering and management field. It also provides a communication platform for students worldwide to share their thoughts.</w:t>
      </w:r>
    </w:p>
    <w:p w14:paraId="17FFC2DE" w14:textId="1C7F5756" w:rsidR="00AB0613" w:rsidRDefault="000B1987" w:rsidP="000B1987">
      <w:pPr>
        <w:ind w:firstLine="480"/>
        <w:rPr>
          <w:color w:val="000000"/>
          <w:kern w:val="0"/>
          <w:szCs w:val="24"/>
        </w:rPr>
      </w:pPr>
      <w:r>
        <w:rPr>
          <w:color w:val="000000"/>
          <w:kern w:val="0"/>
          <w:szCs w:val="24"/>
        </w:rPr>
        <w:t>ICCEM encourages participants to solve the emerging problems in construction engineering and management using multi-disciplinary knowledge, including engineering, construction management, urban planning and management, economics and law, humanities and social sciences, computer technology and so on.</w:t>
      </w:r>
    </w:p>
    <w:p w14:paraId="5C46353D" w14:textId="77777777" w:rsidR="000B1987" w:rsidRPr="00AB0613" w:rsidRDefault="000B1987" w:rsidP="000B1987">
      <w:pPr>
        <w:ind w:firstLine="480"/>
        <w:rPr>
          <w:rFonts w:ascii="宋体" w:hAnsi="宋体"/>
          <w:kern w:val="0"/>
          <w:szCs w:val="24"/>
        </w:rPr>
      </w:pPr>
    </w:p>
    <w:p w14:paraId="30C4CEA3" w14:textId="178C6FC3" w:rsidR="00AB0613" w:rsidRPr="00B70853" w:rsidRDefault="000B1987" w:rsidP="00B70853">
      <w:pPr>
        <w:widowControl/>
        <w:spacing w:after="156" w:line="300" w:lineRule="auto"/>
        <w:ind w:firstLineChars="0" w:firstLine="0"/>
        <w:jc w:val="center"/>
        <w:rPr>
          <w:b/>
          <w:color w:val="000000"/>
          <w:kern w:val="0"/>
          <w:szCs w:val="24"/>
        </w:rPr>
      </w:pPr>
      <w:r w:rsidRPr="00B70853">
        <w:rPr>
          <w:rFonts w:hint="eastAsia"/>
          <w:b/>
          <w:color w:val="000000"/>
          <w:kern w:val="0"/>
          <w:szCs w:val="24"/>
        </w:rPr>
        <w:t>Table</w:t>
      </w:r>
      <w:r w:rsidRPr="00B70853">
        <w:rPr>
          <w:b/>
          <w:color w:val="000000"/>
          <w:kern w:val="0"/>
          <w:szCs w:val="24"/>
        </w:rPr>
        <w:t>, Figure and Formula</w:t>
      </w:r>
    </w:p>
    <w:p w14:paraId="091D1920" w14:textId="4ED3C7AA" w:rsidR="00F27343" w:rsidRPr="00F27343" w:rsidRDefault="00380972" w:rsidP="00380972">
      <w:pPr>
        <w:ind w:firstLine="480"/>
        <w:rPr>
          <w:rFonts w:ascii="宋体" w:hAnsi="宋体"/>
        </w:rPr>
      </w:pPr>
      <w:r w:rsidRPr="00380972">
        <w:rPr>
          <w:color w:val="000000"/>
          <w:kern w:val="0"/>
          <w:szCs w:val="24"/>
        </w:rPr>
        <w:t xml:space="preserve">The table header should be placed above the table, and the table header and table </w:t>
      </w:r>
      <w:r w:rsidRPr="00380972">
        <w:rPr>
          <w:color w:val="000000"/>
          <w:kern w:val="0"/>
          <w:szCs w:val="24"/>
        </w:rPr>
        <w:lastRenderedPageBreak/>
        <w:t>contents should be 10pt in size.</w:t>
      </w:r>
    </w:p>
    <w:p w14:paraId="2F40B87F" w14:textId="6EA85CD0" w:rsidR="00F27343" w:rsidRPr="00380972" w:rsidRDefault="00380972" w:rsidP="00F27343">
      <w:pPr>
        <w:pStyle w:val="a8"/>
        <w:keepNext/>
        <w:ind w:firstLine="400"/>
        <w:rPr>
          <w:rFonts w:ascii="Times" w:eastAsia="宋体" w:hAnsi="Times" w:cs="Times"/>
        </w:rPr>
      </w:pPr>
      <w:r w:rsidRPr="00380972">
        <w:rPr>
          <w:rFonts w:ascii="Times" w:eastAsia="宋体" w:hAnsi="Times" w:cs="Times"/>
        </w:rPr>
        <w:t>Table</w:t>
      </w:r>
      <w:r w:rsidR="00F27343" w:rsidRPr="00380972">
        <w:rPr>
          <w:rFonts w:ascii="Times" w:eastAsia="宋体" w:hAnsi="Times" w:cs="Times"/>
        </w:rPr>
        <w:t xml:space="preserve"> </w:t>
      </w:r>
      <w:r w:rsidR="00F27343" w:rsidRPr="00380972">
        <w:rPr>
          <w:rFonts w:ascii="Times" w:eastAsia="宋体" w:hAnsi="Times" w:cs="Times"/>
        </w:rPr>
        <w:fldChar w:fldCharType="begin"/>
      </w:r>
      <w:r w:rsidR="00F27343" w:rsidRPr="00380972">
        <w:rPr>
          <w:rFonts w:ascii="Times" w:eastAsia="宋体" w:hAnsi="Times" w:cs="Times"/>
        </w:rPr>
        <w:instrText xml:space="preserve"> SEQ </w:instrText>
      </w:r>
      <w:r w:rsidR="00F27343" w:rsidRPr="00380972">
        <w:rPr>
          <w:rFonts w:ascii="Times" w:eastAsia="宋体" w:hAnsi="Times" w:cs="Times"/>
        </w:rPr>
        <w:instrText>表</w:instrText>
      </w:r>
      <w:r w:rsidR="00F27343" w:rsidRPr="00380972">
        <w:rPr>
          <w:rFonts w:ascii="Times" w:eastAsia="宋体" w:hAnsi="Times" w:cs="Times"/>
        </w:rPr>
        <w:instrText xml:space="preserve"> \* ARABIC </w:instrText>
      </w:r>
      <w:r w:rsidR="00F27343" w:rsidRPr="00380972">
        <w:rPr>
          <w:rFonts w:ascii="Times" w:eastAsia="宋体" w:hAnsi="Times" w:cs="Times"/>
        </w:rPr>
        <w:fldChar w:fldCharType="separate"/>
      </w:r>
      <w:r w:rsidR="00F27343" w:rsidRPr="00380972">
        <w:rPr>
          <w:rFonts w:ascii="Times" w:eastAsia="宋体" w:hAnsi="Times" w:cs="Times"/>
          <w:noProof/>
        </w:rPr>
        <w:t>1</w:t>
      </w:r>
      <w:r w:rsidR="00F27343" w:rsidRPr="00380972">
        <w:rPr>
          <w:rFonts w:ascii="Times" w:eastAsia="宋体" w:hAnsi="Times" w:cs="Times"/>
        </w:rPr>
        <w:fldChar w:fldCharType="end"/>
      </w:r>
      <w:r w:rsidRPr="00380972">
        <w:rPr>
          <w:rFonts w:ascii="Times" w:eastAsia="宋体" w:hAnsi="Times" w:cs="Times"/>
        </w:rPr>
        <w:t>.</w:t>
      </w:r>
      <w:r w:rsidR="00F27343" w:rsidRPr="00380972">
        <w:rPr>
          <w:rFonts w:ascii="Times" w:eastAsia="宋体" w:hAnsi="Times" w:cs="Times"/>
        </w:rPr>
        <w:t xml:space="preserve"> </w:t>
      </w:r>
      <w:r w:rsidRPr="00380972">
        <w:rPr>
          <w:rFonts w:ascii="Times" w:eastAsia="宋体" w:hAnsi="Times" w:cs="Times"/>
        </w:rPr>
        <w:t>Example table</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5"/>
        <w:gridCol w:w="2766"/>
      </w:tblGrid>
      <w:tr w:rsidR="00AB0613" w14:paraId="28B97639" w14:textId="77777777" w:rsidTr="00AB0613">
        <w:trPr>
          <w:trHeight w:val="420"/>
        </w:trPr>
        <w:tc>
          <w:tcPr>
            <w:tcW w:w="2765" w:type="dxa"/>
            <w:tcBorders>
              <w:top w:val="single" w:sz="4" w:space="0" w:color="auto"/>
              <w:bottom w:val="single" w:sz="4" w:space="0" w:color="auto"/>
            </w:tcBorders>
          </w:tcPr>
          <w:p w14:paraId="468EF50D" w14:textId="5B3FF6D4" w:rsidR="00AB0613" w:rsidRPr="00380972" w:rsidRDefault="00380972" w:rsidP="00AB0613">
            <w:pPr>
              <w:ind w:firstLineChars="0" w:firstLine="0"/>
              <w:jc w:val="center"/>
              <w:rPr>
                <w:rFonts w:ascii="Times" w:hAnsi="Times" w:cs="Times"/>
                <w:b/>
                <w:sz w:val="20"/>
                <w:szCs w:val="20"/>
              </w:rPr>
            </w:pPr>
            <w:r w:rsidRPr="00380972">
              <w:rPr>
                <w:rFonts w:ascii="Times" w:hAnsi="Times" w:cs="Times"/>
                <w:b/>
                <w:sz w:val="20"/>
                <w:szCs w:val="20"/>
              </w:rPr>
              <w:t>First column</w:t>
            </w:r>
          </w:p>
        </w:tc>
        <w:tc>
          <w:tcPr>
            <w:tcW w:w="2765" w:type="dxa"/>
            <w:tcBorders>
              <w:top w:val="single" w:sz="4" w:space="0" w:color="auto"/>
              <w:bottom w:val="single" w:sz="4" w:space="0" w:color="auto"/>
            </w:tcBorders>
          </w:tcPr>
          <w:p w14:paraId="755BE157" w14:textId="2FAD17BB" w:rsidR="00AB0613" w:rsidRPr="00380972" w:rsidRDefault="00380972" w:rsidP="00AB0613">
            <w:pPr>
              <w:ind w:firstLineChars="0" w:firstLine="0"/>
              <w:jc w:val="center"/>
              <w:rPr>
                <w:rFonts w:ascii="Times" w:hAnsi="Times" w:cs="Times"/>
                <w:b/>
                <w:sz w:val="20"/>
                <w:szCs w:val="20"/>
              </w:rPr>
            </w:pPr>
            <w:r w:rsidRPr="00380972">
              <w:rPr>
                <w:rFonts w:ascii="Times" w:hAnsi="Times" w:cs="Times"/>
                <w:b/>
                <w:sz w:val="20"/>
                <w:szCs w:val="20"/>
              </w:rPr>
              <w:t xml:space="preserve">Second </w:t>
            </w:r>
            <w:r w:rsidRPr="00380972">
              <w:rPr>
                <w:rFonts w:ascii="Times" w:hAnsi="Times" w:cs="Times"/>
                <w:b/>
                <w:sz w:val="20"/>
                <w:szCs w:val="20"/>
              </w:rPr>
              <w:t>column</w:t>
            </w:r>
          </w:p>
        </w:tc>
        <w:tc>
          <w:tcPr>
            <w:tcW w:w="2766" w:type="dxa"/>
            <w:tcBorders>
              <w:top w:val="single" w:sz="4" w:space="0" w:color="auto"/>
              <w:bottom w:val="single" w:sz="4" w:space="0" w:color="auto"/>
            </w:tcBorders>
          </w:tcPr>
          <w:p w14:paraId="60E0BCD7" w14:textId="30CAFF38" w:rsidR="00AB0613" w:rsidRPr="00380972" w:rsidRDefault="00380972" w:rsidP="00AB0613">
            <w:pPr>
              <w:ind w:firstLineChars="0" w:firstLine="0"/>
              <w:jc w:val="center"/>
              <w:rPr>
                <w:rFonts w:ascii="Times" w:hAnsi="Times" w:cs="Times"/>
                <w:b/>
                <w:sz w:val="20"/>
                <w:szCs w:val="20"/>
              </w:rPr>
            </w:pPr>
            <w:r w:rsidRPr="00380972">
              <w:rPr>
                <w:rFonts w:ascii="Times" w:hAnsi="Times" w:cs="Times"/>
                <w:b/>
                <w:sz w:val="20"/>
                <w:szCs w:val="20"/>
              </w:rPr>
              <w:t>Third</w:t>
            </w:r>
            <w:r w:rsidRPr="00380972">
              <w:rPr>
                <w:rFonts w:ascii="Times" w:hAnsi="Times" w:cs="Times"/>
                <w:b/>
                <w:sz w:val="20"/>
                <w:szCs w:val="20"/>
              </w:rPr>
              <w:t xml:space="preserve"> column</w:t>
            </w:r>
          </w:p>
        </w:tc>
      </w:tr>
      <w:tr w:rsidR="00AB0613" w14:paraId="1887720B" w14:textId="77777777" w:rsidTr="00AB0613">
        <w:trPr>
          <w:trHeight w:val="47"/>
        </w:trPr>
        <w:tc>
          <w:tcPr>
            <w:tcW w:w="2765" w:type="dxa"/>
            <w:tcBorders>
              <w:top w:val="single" w:sz="4" w:space="0" w:color="auto"/>
            </w:tcBorders>
          </w:tcPr>
          <w:p w14:paraId="3F5D7850" w14:textId="749E60D9" w:rsidR="00AB0613" w:rsidRPr="00F27343" w:rsidRDefault="00AB0613" w:rsidP="00AB0613">
            <w:pPr>
              <w:ind w:firstLineChars="0" w:firstLine="0"/>
              <w:jc w:val="center"/>
              <w:rPr>
                <w:rFonts w:ascii="宋体" w:hAnsi="宋体"/>
                <w:b/>
                <w:sz w:val="20"/>
                <w:szCs w:val="20"/>
              </w:rPr>
            </w:pPr>
            <w:r w:rsidRPr="00F27343">
              <w:rPr>
                <w:rFonts w:ascii="宋体" w:hAnsi="宋体" w:hint="eastAsia"/>
                <w:b/>
                <w:sz w:val="20"/>
                <w:szCs w:val="20"/>
              </w:rPr>
              <w:t>1</w:t>
            </w:r>
          </w:p>
        </w:tc>
        <w:tc>
          <w:tcPr>
            <w:tcW w:w="2765" w:type="dxa"/>
            <w:tcBorders>
              <w:top w:val="single" w:sz="4" w:space="0" w:color="auto"/>
            </w:tcBorders>
          </w:tcPr>
          <w:p w14:paraId="7FDD699E" w14:textId="7AF66867" w:rsidR="00AB0613" w:rsidRPr="00F27343" w:rsidRDefault="00AB0613" w:rsidP="00AB0613">
            <w:pPr>
              <w:ind w:firstLineChars="0" w:firstLine="0"/>
              <w:jc w:val="center"/>
              <w:rPr>
                <w:rFonts w:ascii="宋体" w:hAnsi="宋体"/>
                <w:b/>
                <w:sz w:val="20"/>
                <w:szCs w:val="20"/>
              </w:rPr>
            </w:pPr>
            <w:r w:rsidRPr="00F27343">
              <w:rPr>
                <w:rFonts w:ascii="宋体" w:hAnsi="宋体" w:hint="eastAsia"/>
                <w:b/>
                <w:sz w:val="20"/>
                <w:szCs w:val="20"/>
              </w:rPr>
              <w:t>2</w:t>
            </w:r>
          </w:p>
        </w:tc>
        <w:tc>
          <w:tcPr>
            <w:tcW w:w="2766" w:type="dxa"/>
            <w:tcBorders>
              <w:top w:val="single" w:sz="4" w:space="0" w:color="auto"/>
            </w:tcBorders>
          </w:tcPr>
          <w:p w14:paraId="6C29BEBE" w14:textId="5A10361F" w:rsidR="00AB0613" w:rsidRPr="00F27343" w:rsidRDefault="00AB0613" w:rsidP="00AB0613">
            <w:pPr>
              <w:ind w:firstLineChars="0" w:firstLine="0"/>
              <w:jc w:val="center"/>
              <w:rPr>
                <w:rFonts w:ascii="宋体" w:hAnsi="宋体"/>
                <w:b/>
                <w:sz w:val="20"/>
                <w:szCs w:val="20"/>
              </w:rPr>
            </w:pPr>
            <w:r w:rsidRPr="00F27343">
              <w:rPr>
                <w:rFonts w:ascii="宋体" w:hAnsi="宋体" w:hint="eastAsia"/>
                <w:b/>
                <w:sz w:val="20"/>
                <w:szCs w:val="20"/>
              </w:rPr>
              <w:t>3</w:t>
            </w:r>
          </w:p>
        </w:tc>
      </w:tr>
      <w:tr w:rsidR="00AB0613" w14:paraId="3F49D2B2" w14:textId="77777777" w:rsidTr="00AB0613">
        <w:tc>
          <w:tcPr>
            <w:tcW w:w="2765" w:type="dxa"/>
          </w:tcPr>
          <w:p w14:paraId="6DF934AF" w14:textId="3AF92318" w:rsidR="00AB0613" w:rsidRPr="00F27343" w:rsidRDefault="00AB0613" w:rsidP="00AB0613">
            <w:pPr>
              <w:ind w:firstLineChars="0" w:firstLine="0"/>
              <w:jc w:val="center"/>
              <w:rPr>
                <w:rFonts w:ascii="宋体" w:hAnsi="宋体"/>
                <w:b/>
                <w:sz w:val="20"/>
                <w:szCs w:val="20"/>
              </w:rPr>
            </w:pPr>
            <w:r w:rsidRPr="00F27343">
              <w:rPr>
                <w:rFonts w:ascii="宋体" w:hAnsi="宋体" w:hint="eastAsia"/>
                <w:b/>
                <w:sz w:val="20"/>
                <w:szCs w:val="20"/>
              </w:rPr>
              <w:t>4</w:t>
            </w:r>
          </w:p>
        </w:tc>
        <w:tc>
          <w:tcPr>
            <w:tcW w:w="2765" w:type="dxa"/>
          </w:tcPr>
          <w:p w14:paraId="0C66FE76" w14:textId="02C435C6" w:rsidR="00AB0613" w:rsidRPr="00F27343" w:rsidRDefault="00AB0613" w:rsidP="00AB0613">
            <w:pPr>
              <w:ind w:firstLineChars="0" w:firstLine="0"/>
              <w:jc w:val="center"/>
              <w:rPr>
                <w:rFonts w:ascii="宋体" w:hAnsi="宋体"/>
                <w:b/>
                <w:sz w:val="20"/>
                <w:szCs w:val="20"/>
              </w:rPr>
            </w:pPr>
            <w:r w:rsidRPr="00F27343">
              <w:rPr>
                <w:rFonts w:ascii="宋体" w:hAnsi="宋体" w:hint="eastAsia"/>
                <w:b/>
                <w:sz w:val="20"/>
                <w:szCs w:val="20"/>
              </w:rPr>
              <w:t>5</w:t>
            </w:r>
          </w:p>
        </w:tc>
        <w:tc>
          <w:tcPr>
            <w:tcW w:w="2766" w:type="dxa"/>
          </w:tcPr>
          <w:p w14:paraId="663CA319" w14:textId="3C4FAF8B" w:rsidR="00AB0613" w:rsidRPr="00F27343" w:rsidRDefault="00AB0613" w:rsidP="00AB0613">
            <w:pPr>
              <w:ind w:firstLineChars="0" w:firstLine="0"/>
              <w:jc w:val="center"/>
              <w:rPr>
                <w:rFonts w:ascii="宋体" w:hAnsi="宋体"/>
                <w:b/>
                <w:sz w:val="20"/>
                <w:szCs w:val="20"/>
              </w:rPr>
            </w:pPr>
            <w:r w:rsidRPr="00F27343">
              <w:rPr>
                <w:rFonts w:ascii="宋体" w:hAnsi="宋体" w:hint="eastAsia"/>
                <w:b/>
                <w:sz w:val="20"/>
                <w:szCs w:val="20"/>
              </w:rPr>
              <w:t>6</w:t>
            </w:r>
          </w:p>
        </w:tc>
      </w:tr>
      <w:tr w:rsidR="00AB0613" w14:paraId="06FE2307" w14:textId="77777777" w:rsidTr="00AB0613">
        <w:tc>
          <w:tcPr>
            <w:tcW w:w="2765" w:type="dxa"/>
            <w:tcBorders>
              <w:bottom w:val="single" w:sz="4" w:space="0" w:color="auto"/>
            </w:tcBorders>
          </w:tcPr>
          <w:p w14:paraId="0E24BDA0" w14:textId="580E2D55" w:rsidR="00AB0613" w:rsidRPr="00F27343" w:rsidRDefault="00AB0613" w:rsidP="00AB0613">
            <w:pPr>
              <w:ind w:firstLineChars="0" w:firstLine="0"/>
              <w:jc w:val="center"/>
              <w:rPr>
                <w:rFonts w:ascii="宋体" w:hAnsi="宋体"/>
                <w:b/>
                <w:sz w:val="20"/>
                <w:szCs w:val="20"/>
              </w:rPr>
            </w:pPr>
            <w:r w:rsidRPr="00F27343">
              <w:rPr>
                <w:rFonts w:ascii="宋体" w:hAnsi="宋体" w:hint="eastAsia"/>
                <w:b/>
                <w:sz w:val="20"/>
                <w:szCs w:val="20"/>
              </w:rPr>
              <w:t>7</w:t>
            </w:r>
          </w:p>
        </w:tc>
        <w:tc>
          <w:tcPr>
            <w:tcW w:w="2765" w:type="dxa"/>
            <w:tcBorders>
              <w:bottom w:val="single" w:sz="4" w:space="0" w:color="auto"/>
            </w:tcBorders>
          </w:tcPr>
          <w:p w14:paraId="328B5720" w14:textId="32EDEB73" w:rsidR="00AB0613" w:rsidRPr="00F27343" w:rsidRDefault="00AB0613" w:rsidP="00AB0613">
            <w:pPr>
              <w:ind w:firstLineChars="0" w:firstLine="0"/>
              <w:jc w:val="center"/>
              <w:rPr>
                <w:rFonts w:ascii="宋体" w:hAnsi="宋体"/>
                <w:b/>
                <w:sz w:val="20"/>
                <w:szCs w:val="20"/>
              </w:rPr>
            </w:pPr>
            <w:r w:rsidRPr="00F27343">
              <w:rPr>
                <w:rFonts w:ascii="宋体" w:hAnsi="宋体" w:hint="eastAsia"/>
                <w:b/>
                <w:sz w:val="20"/>
                <w:szCs w:val="20"/>
              </w:rPr>
              <w:t>8</w:t>
            </w:r>
          </w:p>
        </w:tc>
        <w:tc>
          <w:tcPr>
            <w:tcW w:w="2766" w:type="dxa"/>
            <w:tcBorders>
              <w:bottom w:val="single" w:sz="4" w:space="0" w:color="auto"/>
            </w:tcBorders>
          </w:tcPr>
          <w:p w14:paraId="269A42B7" w14:textId="6C6E5EE3" w:rsidR="00AB0613" w:rsidRPr="00F27343" w:rsidRDefault="00AB0613" w:rsidP="00AB0613">
            <w:pPr>
              <w:ind w:firstLineChars="0" w:firstLine="0"/>
              <w:jc w:val="center"/>
              <w:rPr>
                <w:rFonts w:ascii="宋体" w:hAnsi="宋体"/>
                <w:b/>
                <w:sz w:val="20"/>
                <w:szCs w:val="20"/>
              </w:rPr>
            </w:pPr>
            <w:r w:rsidRPr="00F27343">
              <w:rPr>
                <w:rFonts w:ascii="宋体" w:hAnsi="宋体" w:hint="eastAsia"/>
                <w:b/>
                <w:sz w:val="20"/>
                <w:szCs w:val="20"/>
              </w:rPr>
              <w:t>9</w:t>
            </w:r>
          </w:p>
        </w:tc>
      </w:tr>
    </w:tbl>
    <w:p w14:paraId="34FD0E8A" w14:textId="24888F55" w:rsidR="00AB0613" w:rsidRDefault="00AB0613" w:rsidP="00AB0613">
      <w:pPr>
        <w:ind w:firstLine="482"/>
        <w:jc w:val="left"/>
        <w:rPr>
          <w:rFonts w:ascii="宋体" w:hAnsi="宋体"/>
          <w:b/>
        </w:rPr>
      </w:pPr>
    </w:p>
    <w:p w14:paraId="25EF708B" w14:textId="385DF283" w:rsidR="00F27343" w:rsidRPr="00380972" w:rsidRDefault="00380972" w:rsidP="00380972">
      <w:pPr>
        <w:ind w:firstLine="480"/>
        <w:rPr>
          <w:color w:val="000000"/>
          <w:kern w:val="0"/>
          <w:szCs w:val="24"/>
        </w:rPr>
      </w:pPr>
      <w:r w:rsidRPr="00380972">
        <w:rPr>
          <w:color w:val="000000"/>
          <w:kern w:val="0"/>
          <w:szCs w:val="24"/>
        </w:rPr>
        <w:t>The description of the image should be placed below the image, also using the size of 10pt.</w:t>
      </w:r>
    </w:p>
    <w:p w14:paraId="5329E87E" w14:textId="77777777" w:rsidR="00F27343" w:rsidRDefault="00AB0613" w:rsidP="00F27343">
      <w:pPr>
        <w:keepNext/>
        <w:ind w:firstLine="480"/>
        <w:jc w:val="center"/>
      </w:pPr>
      <w:r>
        <w:rPr>
          <w:noProof/>
        </w:rPr>
        <w:drawing>
          <wp:inline distT="0" distB="0" distL="0" distR="0" wp14:anchorId="5F851ADB" wp14:editId="18CFA641">
            <wp:extent cx="3683000" cy="17576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30154"/>
                    <a:stretch/>
                  </pic:blipFill>
                  <pic:spPr bwMode="auto">
                    <a:xfrm>
                      <a:off x="0" y="0"/>
                      <a:ext cx="3683886" cy="1758103"/>
                    </a:xfrm>
                    <a:prstGeom prst="rect">
                      <a:avLst/>
                    </a:prstGeom>
                    <a:noFill/>
                    <a:ln>
                      <a:noFill/>
                    </a:ln>
                    <a:extLst>
                      <a:ext uri="{53640926-AAD7-44D8-BBD7-CCE9431645EC}">
                        <a14:shadowObscured xmlns:a14="http://schemas.microsoft.com/office/drawing/2010/main"/>
                      </a:ext>
                    </a:extLst>
                  </pic:spPr>
                </pic:pic>
              </a:graphicData>
            </a:graphic>
          </wp:inline>
        </w:drawing>
      </w:r>
    </w:p>
    <w:p w14:paraId="6F329A51" w14:textId="01E5009F" w:rsidR="00AB0613" w:rsidRPr="00380972" w:rsidRDefault="00380972" w:rsidP="00F27343">
      <w:pPr>
        <w:pStyle w:val="a8"/>
        <w:ind w:firstLine="400"/>
        <w:jc w:val="center"/>
        <w:rPr>
          <w:rFonts w:ascii="Times" w:eastAsia="宋体" w:hAnsi="Times" w:cs="Times"/>
        </w:rPr>
      </w:pPr>
      <w:r w:rsidRPr="00380972">
        <w:rPr>
          <w:rFonts w:ascii="Times" w:eastAsia="宋体" w:hAnsi="Times" w:cs="Times"/>
        </w:rPr>
        <w:t>Figure</w:t>
      </w:r>
      <w:r w:rsidR="00F27343" w:rsidRPr="00380972">
        <w:rPr>
          <w:rFonts w:ascii="Times" w:eastAsia="宋体" w:hAnsi="Times" w:cs="Times"/>
        </w:rPr>
        <w:t xml:space="preserve"> </w:t>
      </w:r>
      <w:r w:rsidR="00F27343" w:rsidRPr="00380972">
        <w:rPr>
          <w:rFonts w:ascii="Times" w:eastAsia="宋体" w:hAnsi="Times" w:cs="Times"/>
        </w:rPr>
        <w:fldChar w:fldCharType="begin"/>
      </w:r>
      <w:r w:rsidR="00F27343" w:rsidRPr="00380972">
        <w:rPr>
          <w:rFonts w:ascii="Times" w:eastAsia="宋体" w:hAnsi="Times" w:cs="Times"/>
        </w:rPr>
        <w:instrText xml:space="preserve"> SEQ </w:instrText>
      </w:r>
      <w:r w:rsidR="00F27343" w:rsidRPr="00380972">
        <w:rPr>
          <w:rFonts w:ascii="Times" w:eastAsia="宋体" w:hAnsi="Times" w:cs="Times"/>
        </w:rPr>
        <w:instrText>图</w:instrText>
      </w:r>
      <w:r w:rsidR="00F27343" w:rsidRPr="00380972">
        <w:rPr>
          <w:rFonts w:ascii="Times" w:eastAsia="宋体" w:hAnsi="Times" w:cs="Times"/>
        </w:rPr>
        <w:instrText xml:space="preserve"> \* ARABIC </w:instrText>
      </w:r>
      <w:r w:rsidR="00F27343" w:rsidRPr="00380972">
        <w:rPr>
          <w:rFonts w:ascii="Times" w:eastAsia="宋体" w:hAnsi="Times" w:cs="Times"/>
        </w:rPr>
        <w:fldChar w:fldCharType="separate"/>
      </w:r>
      <w:r w:rsidR="00F27343" w:rsidRPr="00380972">
        <w:rPr>
          <w:rFonts w:ascii="Times" w:eastAsia="宋体" w:hAnsi="Times" w:cs="Times"/>
        </w:rPr>
        <w:t>1</w:t>
      </w:r>
      <w:r w:rsidR="00F27343" w:rsidRPr="00380972">
        <w:rPr>
          <w:rFonts w:ascii="Times" w:eastAsia="宋体" w:hAnsi="Times" w:cs="Times"/>
        </w:rPr>
        <w:fldChar w:fldCharType="end"/>
      </w:r>
      <w:r w:rsidRPr="00380972">
        <w:rPr>
          <w:rFonts w:ascii="Times" w:eastAsia="宋体" w:hAnsi="Times" w:cs="Times"/>
        </w:rPr>
        <w:t>.</w:t>
      </w:r>
      <w:r w:rsidR="00F27343" w:rsidRPr="00380972">
        <w:rPr>
          <w:rFonts w:ascii="Times" w:eastAsia="宋体" w:hAnsi="Times" w:cs="Times"/>
        </w:rPr>
        <w:t xml:space="preserve"> </w:t>
      </w:r>
      <w:r w:rsidRPr="00380972">
        <w:rPr>
          <w:rFonts w:ascii="Times" w:eastAsia="宋体" w:hAnsi="Times" w:cs="Times"/>
        </w:rPr>
        <w:t>Example figure</w:t>
      </w:r>
    </w:p>
    <w:p w14:paraId="5FF309A1" w14:textId="1FD666F6" w:rsidR="00F27343" w:rsidRPr="00380972" w:rsidRDefault="00380972" w:rsidP="00380972">
      <w:pPr>
        <w:ind w:firstLine="480"/>
        <w:rPr>
          <w:color w:val="000000"/>
          <w:kern w:val="0"/>
          <w:szCs w:val="24"/>
        </w:rPr>
      </w:pPr>
      <w:r w:rsidRPr="00380972">
        <w:rPr>
          <w:color w:val="000000"/>
          <w:kern w:val="0"/>
          <w:szCs w:val="24"/>
        </w:rPr>
        <w:t>Unless a formula needs to be referenced multiple times, it does not need to be numbered.</w:t>
      </w:r>
    </w:p>
    <w:p w14:paraId="7F38AE59" w14:textId="048F25F4" w:rsidR="00380972" w:rsidRDefault="00380972" w:rsidP="00F27343">
      <w:pPr>
        <w:ind w:firstLine="480"/>
        <w:jc w:val="left"/>
        <w:rPr>
          <w:rFonts w:ascii="宋体" w:hAnsi="宋体" w:hint="eastAsia"/>
        </w:rPr>
      </w:pPr>
      <m:oMathPara>
        <m:oMath>
          <m:r>
            <m:rPr>
              <m:sty m:val="p"/>
            </m:rPr>
            <w:rPr>
              <w:rFonts w:ascii="Cambria Math" w:hAnsi="Cambria Math"/>
            </w:rPr>
            <m:t>E=m</m:t>
          </m:r>
          <m:sSup>
            <m:sSupPr>
              <m:ctrlPr>
                <w:rPr>
                  <w:rFonts w:ascii="Cambria Math" w:hAnsi="Cambria Math"/>
                </w:rPr>
              </m:ctrlPr>
            </m:sSupPr>
            <m:e>
              <m:r>
                <m:rPr>
                  <m:sty m:val="p"/>
                </m:rPr>
                <w:rPr>
                  <w:rFonts w:ascii="Cambria Math" w:hAnsi="Cambria Math"/>
                </w:rPr>
                <m:t>c</m:t>
              </m:r>
            </m:e>
            <m:sup>
              <m:r>
                <m:rPr>
                  <m:sty m:val="p"/>
                </m:rPr>
                <w:rPr>
                  <w:rFonts w:ascii="Cambria Math" w:hAnsi="Cambria Math"/>
                </w:rPr>
                <m:t>2</m:t>
              </m:r>
            </m:sup>
          </m:sSup>
        </m:oMath>
      </m:oMathPara>
    </w:p>
    <w:p w14:paraId="0185AFB2" w14:textId="77777777" w:rsidR="0076060D" w:rsidRPr="00AB0613" w:rsidRDefault="0076060D" w:rsidP="00F27343">
      <w:pPr>
        <w:ind w:firstLine="480"/>
        <w:jc w:val="left"/>
        <w:rPr>
          <w:rFonts w:ascii="宋体" w:hAnsi="宋体"/>
        </w:rPr>
      </w:pPr>
    </w:p>
    <w:p w14:paraId="679E994F" w14:textId="36F8F766" w:rsidR="005A264A" w:rsidRPr="00B70853" w:rsidRDefault="000B1987" w:rsidP="00B70853">
      <w:pPr>
        <w:widowControl/>
        <w:spacing w:after="156" w:line="300" w:lineRule="auto"/>
        <w:ind w:firstLineChars="0" w:firstLine="0"/>
        <w:jc w:val="center"/>
        <w:rPr>
          <w:b/>
          <w:color w:val="000000"/>
          <w:kern w:val="0"/>
          <w:szCs w:val="24"/>
        </w:rPr>
      </w:pPr>
      <w:r w:rsidRPr="00B70853">
        <w:rPr>
          <w:rFonts w:hint="eastAsia"/>
          <w:b/>
          <w:color w:val="000000"/>
          <w:kern w:val="0"/>
          <w:szCs w:val="24"/>
        </w:rPr>
        <w:t>R</w:t>
      </w:r>
      <w:r w:rsidRPr="00B70853">
        <w:rPr>
          <w:b/>
          <w:color w:val="000000"/>
          <w:kern w:val="0"/>
          <w:szCs w:val="24"/>
        </w:rPr>
        <w:t>eferences</w:t>
      </w:r>
      <w:r w:rsidR="005A264A">
        <w:rPr>
          <w:b/>
          <w:color w:val="000000"/>
          <w:kern w:val="0"/>
          <w:szCs w:val="24"/>
        </w:rPr>
        <w:fldChar w:fldCharType="begin"/>
      </w:r>
      <w:r w:rsidR="005A264A" w:rsidRPr="00B70853">
        <w:rPr>
          <w:b/>
          <w:color w:val="000000"/>
          <w:kern w:val="0"/>
          <w:szCs w:val="24"/>
        </w:rPr>
        <w:instrText xml:space="preserve"> ADDIN ZOTERO_BIBL {"uncited":[],"omitted":[],"custom":[]} CSL_BIBLIOGRAPHY </w:instrText>
      </w:r>
      <w:r w:rsidR="005A264A">
        <w:rPr>
          <w:b/>
          <w:color w:val="000000"/>
          <w:kern w:val="0"/>
          <w:szCs w:val="24"/>
        </w:rPr>
        <w:fldChar w:fldCharType="separate"/>
      </w:r>
    </w:p>
    <w:p w14:paraId="77759789" w14:textId="52E4339A" w:rsidR="005A264A" w:rsidRPr="00980D4F" w:rsidRDefault="005A264A" w:rsidP="00980D4F">
      <w:pPr>
        <w:widowControl/>
        <w:spacing w:after="156" w:line="300" w:lineRule="auto"/>
        <w:ind w:firstLineChars="0" w:firstLine="0"/>
        <w:rPr>
          <w:color w:val="000000"/>
          <w:kern w:val="0"/>
          <w:szCs w:val="24"/>
        </w:rPr>
      </w:pPr>
      <w:r>
        <w:rPr>
          <w:rFonts w:ascii="宋体" w:hAnsi="宋体"/>
          <w:b/>
        </w:rPr>
        <w:fldChar w:fldCharType="end"/>
      </w:r>
      <w:proofErr w:type="spellStart"/>
      <w:r w:rsidRPr="00980D4F">
        <w:rPr>
          <w:rFonts w:hint="eastAsia"/>
          <w:color w:val="000000"/>
          <w:kern w:val="0"/>
          <w:szCs w:val="24"/>
        </w:rPr>
        <w:t>Boje</w:t>
      </w:r>
      <w:proofErr w:type="spellEnd"/>
      <w:r w:rsidRPr="00980D4F">
        <w:rPr>
          <w:rFonts w:hint="eastAsia"/>
          <w:color w:val="000000"/>
          <w:kern w:val="0"/>
          <w:szCs w:val="24"/>
        </w:rPr>
        <w:t xml:space="preserve">, C., Guerriero, A., </w:t>
      </w:r>
      <w:proofErr w:type="spellStart"/>
      <w:r w:rsidRPr="00980D4F">
        <w:rPr>
          <w:rFonts w:hint="eastAsia"/>
          <w:color w:val="000000"/>
          <w:kern w:val="0"/>
          <w:szCs w:val="24"/>
        </w:rPr>
        <w:t>Kubicki</w:t>
      </w:r>
      <w:proofErr w:type="spellEnd"/>
      <w:r w:rsidRPr="00980D4F">
        <w:rPr>
          <w:rFonts w:hint="eastAsia"/>
          <w:color w:val="000000"/>
          <w:kern w:val="0"/>
          <w:szCs w:val="24"/>
        </w:rPr>
        <w:t>, S.</w:t>
      </w:r>
      <w:r w:rsidR="00980D4F">
        <w:rPr>
          <w:rFonts w:hint="eastAsia"/>
          <w:color w:val="000000"/>
          <w:kern w:val="0"/>
          <w:szCs w:val="24"/>
        </w:rPr>
        <w:t xml:space="preserve"> </w:t>
      </w:r>
      <w:r w:rsidR="00980D4F">
        <w:rPr>
          <w:color w:val="000000"/>
          <w:kern w:val="0"/>
          <w:szCs w:val="24"/>
        </w:rPr>
        <w:t xml:space="preserve">and </w:t>
      </w:r>
      <w:proofErr w:type="spellStart"/>
      <w:r w:rsidRPr="00980D4F">
        <w:rPr>
          <w:rFonts w:hint="eastAsia"/>
          <w:color w:val="000000"/>
          <w:kern w:val="0"/>
          <w:szCs w:val="24"/>
        </w:rPr>
        <w:t>Rezgui</w:t>
      </w:r>
      <w:proofErr w:type="spellEnd"/>
      <w:r w:rsidRPr="00980D4F">
        <w:rPr>
          <w:rFonts w:hint="eastAsia"/>
          <w:color w:val="000000"/>
          <w:kern w:val="0"/>
          <w:szCs w:val="24"/>
        </w:rPr>
        <w:t xml:space="preserve">, Y. (2020). Towards a semantic Construction Digital Twin: Directions for future research. Automation in Construction, 114. </w:t>
      </w:r>
    </w:p>
    <w:p w14:paraId="754347B2" w14:textId="4849B31E" w:rsidR="005A264A" w:rsidRPr="00980D4F" w:rsidRDefault="005A264A" w:rsidP="00980D4F">
      <w:pPr>
        <w:widowControl/>
        <w:spacing w:after="156" w:line="300" w:lineRule="auto"/>
        <w:ind w:firstLineChars="0" w:firstLine="0"/>
        <w:rPr>
          <w:color w:val="000000"/>
          <w:kern w:val="0"/>
          <w:szCs w:val="24"/>
        </w:rPr>
      </w:pPr>
      <w:r w:rsidRPr="00980D4F">
        <w:rPr>
          <w:color w:val="000000"/>
          <w:kern w:val="0"/>
          <w:szCs w:val="24"/>
        </w:rPr>
        <w:t xml:space="preserve">Lu, W. (2019). Big data analytics to identify illegal construction waste dumping: A Hong Kong study. Resources, Conservation and Recycling, 141, 264–272. </w:t>
      </w:r>
    </w:p>
    <w:p w14:paraId="5075EADF" w14:textId="79F4D2BB" w:rsidR="00AB0613" w:rsidRPr="00980D4F" w:rsidRDefault="005A264A" w:rsidP="00980D4F">
      <w:pPr>
        <w:widowControl/>
        <w:spacing w:after="156" w:line="300" w:lineRule="auto"/>
        <w:ind w:firstLineChars="0" w:firstLine="0"/>
        <w:rPr>
          <w:color w:val="000000"/>
          <w:kern w:val="0"/>
          <w:szCs w:val="24"/>
        </w:rPr>
      </w:pPr>
      <w:r w:rsidRPr="00980D4F">
        <w:rPr>
          <w:rFonts w:hint="eastAsia"/>
          <w:color w:val="000000"/>
          <w:kern w:val="0"/>
          <w:szCs w:val="24"/>
        </w:rPr>
        <w:t xml:space="preserve">Zhang, S., </w:t>
      </w:r>
      <w:proofErr w:type="spellStart"/>
      <w:r w:rsidRPr="00980D4F">
        <w:rPr>
          <w:rFonts w:hint="eastAsia"/>
          <w:color w:val="000000"/>
          <w:kern w:val="0"/>
          <w:szCs w:val="24"/>
        </w:rPr>
        <w:t>Teizer</w:t>
      </w:r>
      <w:proofErr w:type="spellEnd"/>
      <w:r w:rsidRPr="00980D4F">
        <w:rPr>
          <w:rFonts w:hint="eastAsia"/>
          <w:color w:val="000000"/>
          <w:kern w:val="0"/>
          <w:szCs w:val="24"/>
        </w:rPr>
        <w:t>, J., Lee, J.-K., Eastman, C. M.</w:t>
      </w:r>
      <w:r w:rsidR="00980D4F">
        <w:rPr>
          <w:rFonts w:hint="eastAsia"/>
          <w:color w:val="000000"/>
          <w:kern w:val="0"/>
          <w:szCs w:val="24"/>
        </w:rPr>
        <w:t xml:space="preserve"> </w:t>
      </w:r>
      <w:r w:rsidR="00980D4F">
        <w:rPr>
          <w:color w:val="000000"/>
          <w:kern w:val="0"/>
          <w:szCs w:val="24"/>
        </w:rPr>
        <w:t xml:space="preserve">and </w:t>
      </w:r>
      <w:r w:rsidRPr="00980D4F">
        <w:rPr>
          <w:rFonts w:hint="eastAsia"/>
          <w:color w:val="000000"/>
          <w:kern w:val="0"/>
          <w:szCs w:val="24"/>
        </w:rPr>
        <w:t>Venugopal, M. (2013). Building Information Modeling (BIM) and Safety: Automatic Safety Checking of Construction Models and Schedules. Automation in Construction, 29, 183</w:t>
      </w:r>
      <w:r w:rsidRPr="00980D4F">
        <w:rPr>
          <w:rFonts w:hint="eastAsia"/>
          <w:color w:val="000000"/>
          <w:kern w:val="0"/>
          <w:szCs w:val="24"/>
        </w:rPr>
        <w:t>–</w:t>
      </w:r>
      <w:r w:rsidRPr="00980D4F">
        <w:rPr>
          <w:rFonts w:hint="eastAsia"/>
          <w:color w:val="000000"/>
          <w:kern w:val="0"/>
          <w:szCs w:val="24"/>
        </w:rPr>
        <w:t xml:space="preserve">195. </w:t>
      </w:r>
    </w:p>
    <w:sectPr w:rsidR="00AB0613" w:rsidRPr="00980D4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2F04D" w14:textId="77777777" w:rsidR="003143BE" w:rsidRDefault="003143BE" w:rsidP="00AB0613">
      <w:pPr>
        <w:spacing w:line="240" w:lineRule="auto"/>
        <w:ind w:firstLine="480"/>
      </w:pPr>
      <w:r>
        <w:separator/>
      </w:r>
    </w:p>
  </w:endnote>
  <w:endnote w:type="continuationSeparator" w:id="0">
    <w:p w14:paraId="23A83293" w14:textId="77777777" w:rsidR="003143BE" w:rsidRDefault="003143BE" w:rsidP="00AB061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4C9AE" w14:textId="77777777" w:rsidR="005A264A" w:rsidRDefault="005A264A">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4584B" w14:textId="77777777" w:rsidR="005A264A" w:rsidRDefault="005A264A">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BE96E" w14:textId="77777777" w:rsidR="005A264A" w:rsidRDefault="005A264A">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CD836" w14:textId="77777777" w:rsidR="003143BE" w:rsidRDefault="003143BE" w:rsidP="00AB0613">
      <w:pPr>
        <w:spacing w:line="240" w:lineRule="auto"/>
        <w:ind w:firstLine="480"/>
      </w:pPr>
      <w:r>
        <w:separator/>
      </w:r>
    </w:p>
  </w:footnote>
  <w:footnote w:type="continuationSeparator" w:id="0">
    <w:p w14:paraId="57625276" w14:textId="77777777" w:rsidR="003143BE" w:rsidRDefault="003143BE" w:rsidP="00AB061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E101A" w14:textId="77777777" w:rsidR="005A264A" w:rsidRDefault="005A264A">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424F" w14:textId="77777777" w:rsidR="005A264A" w:rsidRDefault="005A264A">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A9C28" w14:textId="77777777" w:rsidR="005A264A" w:rsidRDefault="005A264A">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3MLewNDQ3MjAxMTRT0lEKTi0uzszPAykwrAUAsuigMSwAAAA="/>
  </w:docVars>
  <w:rsids>
    <w:rsidRoot w:val="0032388C"/>
    <w:rsid w:val="000B1987"/>
    <w:rsid w:val="003143BE"/>
    <w:rsid w:val="0032388C"/>
    <w:rsid w:val="00380972"/>
    <w:rsid w:val="00547875"/>
    <w:rsid w:val="005A264A"/>
    <w:rsid w:val="0076060D"/>
    <w:rsid w:val="007A2CE2"/>
    <w:rsid w:val="007E4CFE"/>
    <w:rsid w:val="00807922"/>
    <w:rsid w:val="00922361"/>
    <w:rsid w:val="00980D4F"/>
    <w:rsid w:val="00AB0613"/>
    <w:rsid w:val="00B70853"/>
    <w:rsid w:val="00CB03F1"/>
    <w:rsid w:val="00F27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89C2F"/>
  <w15:chartTrackingRefBased/>
  <w15:docId w15:val="{F84C3B77-A9E6-44B5-A37C-BFDB05C1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0613"/>
    <w:pPr>
      <w:widowControl w:val="0"/>
      <w:spacing w:line="360" w:lineRule="auto"/>
      <w:ind w:firstLineChars="200" w:firstLine="20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6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0613"/>
    <w:rPr>
      <w:sz w:val="18"/>
      <w:szCs w:val="18"/>
    </w:rPr>
  </w:style>
  <w:style w:type="paragraph" w:styleId="a5">
    <w:name w:val="footer"/>
    <w:basedOn w:val="a"/>
    <w:link w:val="a6"/>
    <w:uiPriority w:val="99"/>
    <w:unhideWhenUsed/>
    <w:rsid w:val="00AB0613"/>
    <w:pPr>
      <w:tabs>
        <w:tab w:val="center" w:pos="4153"/>
        <w:tab w:val="right" w:pos="8306"/>
      </w:tabs>
      <w:snapToGrid w:val="0"/>
      <w:jc w:val="left"/>
    </w:pPr>
    <w:rPr>
      <w:sz w:val="18"/>
      <w:szCs w:val="18"/>
    </w:rPr>
  </w:style>
  <w:style w:type="character" w:customStyle="1" w:styleId="a6">
    <w:name w:val="页脚 字符"/>
    <w:basedOn w:val="a0"/>
    <w:link w:val="a5"/>
    <w:uiPriority w:val="99"/>
    <w:rsid w:val="00AB0613"/>
    <w:rPr>
      <w:sz w:val="18"/>
      <w:szCs w:val="18"/>
    </w:rPr>
  </w:style>
  <w:style w:type="table" w:styleId="a7">
    <w:name w:val="Table Grid"/>
    <w:basedOn w:val="a1"/>
    <w:uiPriority w:val="39"/>
    <w:rsid w:val="00AB0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uiPriority w:val="35"/>
    <w:unhideWhenUsed/>
    <w:qFormat/>
    <w:rsid w:val="00F27343"/>
    <w:rPr>
      <w:rFonts w:asciiTheme="majorHAnsi" w:eastAsia="黑体" w:hAnsiTheme="majorHAnsi" w:cstheme="majorBidi"/>
      <w:sz w:val="20"/>
      <w:szCs w:val="20"/>
    </w:rPr>
  </w:style>
  <w:style w:type="paragraph" w:styleId="a9">
    <w:name w:val="Bibliography"/>
    <w:basedOn w:val="a"/>
    <w:next w:val="a"/>
    <w:uiPriority w:val="37"/>
    <w:unhideWhenUsed/>
    <w:rsid w:val="005A264A"/>
    <w:pPr>
      <w:spacing w:line="480" w:lineRule="auto"/>
      <w:ind w:left="720" w:hanging="720"/>
    </w:pPr>
  </w:style>
  <w:style w:type="character" w:customStyle="1" w:styleId="q4iawc">
    <w:name w:val="q4iawc"/>
    <w:basedOn w:val="a0"/>
    <w:rsid w:val="00980D4F"/>
  </w:style>
  <w:style w:type="character" w:styleId="aa">
    <w:name w:val="Placeholder Text"/>
    <w:basedOn w:val="a0"/>
    <w:uiPriority w:val="99"/>
    <w:semiHidden/>
    <w:rsid w:val="003809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851</Words>
  <Characters>4853</Characters>
  <Application>Microsoft Office Word</Application>
  <DocSecurity>0</DocSecurity>
  <Lines>40</Lines>
  <Paragraphs>11</Paragraphs>
  <ScaleCrop>false</ScaleCrop>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LIN</dc:creator>
  <cp:keywords/>
  <dc:description/>
  <cp:lastModifiedBy>XIAO LIN</cp:lastModifiedBy>
  <cp:revision>8</cp:revision>
  <dcterms:created xsi:type="dcterms:W3CDTF">2022-04-06T04:42:00Z</dcterms:created>
  <dcterms:modified xsi:type="dcterms:W3CDTF">2022-04-07T06:55:00Z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id="bhZ9NXaT"/&gt;&lt;style id="http://www.zotero.org/styles/apa-no-ampersand" locale="zh-CN" hasBibliography="1" bibliographyStyleHasBeenSet="1"/&gt;&lt;prefs&gt;&lt;pref name="fieldType" value="Field"/&gt;&lt;pref name="au</vt:lpwstr>
  </property>
  <property fmtid="{D5CDD505-2E9C-101B-9397-08002B2CF9AE}" pid="3" name="ZOTERO_PREF_2">
    <vt:lpwstr>tomaticJournalAbbreviations" value="true"/&gt;&lt;/prefs&gt;&lt;/data&gt;</vt:lpwstr>
  </property>
</Properties>
</file>